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1B4" w:rsidRDefault="00A13BAD">
      <w:pPr>
        <w:pStyle w:val="Heading1"/>
      </w:pPr>
      <w:bookmarkStart w:id="0" w:name="_GoBack"/>
      <w:bookmarkEnd w:id="0"/>
      <w:r>
        <w:t>Goal Setting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4"/>
        <w:gridCol w:w="3401"/>
        <w:gridCol w:w="1421"/>
        <w:gridCol w:w="1984"/>
        <w:gridCol w:w="1875"/>
        <w:gridCol w:w="2049"/>
        <w:gridCol w:w="2036"/>
      </w:tblGrid>
      <w:tr w:rsidR="00A301B4">
        <w:tc>
          <w:tcPr>
            <w:tcW w:w="0" w:type="auto"/>
            <w:gridSpan w:val="7"/>
            <w:shd w:val="clear" w:color="auto" w:fill="16599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301B4" w:rsidRDefault="00A13BAD">
            <w:r>
              <w:rPr>
                <w:b/>
                <w:color w:val="FFFFFF"/>
                <w:shd w:val="clear" w:color="auto" w:fill="165998"/>
              </w:rPr>
              <w:t>Priority:</w:t>
            </w:r>
            <w:r>
              <w:rPr>
                <w:color w:val="FFFFFF"/>
                <w:shd w:val="clear" w:color="auto" w:fill="165998"/>
              </w:rPr>
              <w:t xml:space="preserve"> Virtual learning for the </w:t>
            </w:r>
            <w:proofErr w:type="spellStart"/>
            <w:r>
              <w:rPr>
                <w:color w:val="FFFFFF"/>
                <w:shd w:val="clear" w:color="auto" w:fill="165998"/>
              </w:rPr>
              <w:t>Covid</w:t>
            </w:r>
            <w:proofErr w:type="spellEnd"/>
            <w:r>
              <w:rPr>
                <w:color w:val="FFFFFF"/>
                <w:shd w:val="clear" w:color="auto" w:fill="165998"/>
              </w:rPr>
              <w:t xml:space="preserve"> years were very difficult for the students with disabilities resulting in a loss of individualized and small group instruction.  </w:t>
            </w:r>
          </w:p>
        </w:tc>
      </w:tr>
      <w:tr w:rsidR="00A301B4">
        <w:tc>
          <w:tcPr>
            <w:tcW w:w="0" w:type="auto"/>
            <w:shd w:val="clear" w:color="auto" w:fill="DCE1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301B4" w:rsidRDefault="00A13BAD">
            <w:r>
              <w:rPr>
                <w:b/>
                <w:shd w:val="clear" w:color="auto" w:fill="DCE1E7"/>
              </w:rPr>
              <w:t>Outcome Category</w:t>
            </w:r>
          </w:p>
        </w:tc>
        <w:tc>
          <w:tcPr>
            <w:tcW w:w="0" w:type="auto"/>
            <w:shd w:val="clear" w:color="auto" w:fill="DCE1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301B4" w:rsidRDefault="00A13BAD">
            <w:r>
              <w:rPr>
                <w:b/>
                <w:shd w:val="clear" w:color="auto" w:fill="DCE1E7"/>
              </w:rPr>
              <w:t>Measurable Goal Statement</w:t>
            </w:r>
          </w:p>
        </w:tc>
        <w:tc>
          <w:tcPr>
            <w:tcW w:w="0" w:type="auto"/>
            <w:shd w:val="clear" w:color="auto" w:fill="DCE1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301B4" w:rsidRDefault="00A13BAD">
            <w:r>
              <w:rPr>
                <w:b/>
                <w:shd w:val="clear" w:color="auto" w:fill="DCE1E7"/>
              </w:rPr>
              <w:t>Measurable Goal Nickname</w:t>
            </w:r>
          </w:p>
        </w:tc>
        <w:tc>
          <w:tcPr>
            <w:tcW w:w="0" w:type="auto"/>
            <w:shd w:val="clear" w:color="auto" w:fill="DCE1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301B4" w:rsidRDefault="00A13BAD">
            <w:r>
              <w:rPr>
                <w:b/>
                <w:shd w:val="clear" w:color="auto" w:fill="DCE1E7"/>
              </w:rPr>
              <w:t>Target 1st Quarter</w:t>
            </w:r>
          </w:p>
        </w:tc>
        <w:tc>
          <w:tcPr>
            <w:tcW w:w="0" w:type="auto"/>
            <w:shd w:val="clear" w:color="auto" w:fill="DCE1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301B4" w:rsidRDefault="00A13BAD">
            <w:r>
              <w:rPr>
                <w:b/>
                <w:shd w:val="clear" w:color="auto" w:fill="DCE1E7"/>
              </w:rPr>
              <w:t>Target 2nd Quarter</w:t>
            </w:r>
          </w:p>
        </w:tc>
        <w:tc>
          <w:tcPr>
            <w:tcW w:w="0" w:type="auto"/>
            <w:shd w:val="clear" w:color="auto" w:fill="DCE1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301B4" w:rsidRDefault="00A13BAD">
            <w:r>
              <w:rPr>
                <w:b/>
                <w:shd w:val="clear" w:color="auto" w:fill="DCE1E7"/>
              </w:rPr>
              <w:t>Target 3rd Quarter</w:t>
            </w:r>
          </w:p>
        </w:tc>
        <w:tc>
          <w:tcPr>
            <w:tcW w:w="0" w:type="auto"/>
            <w:shd w:val="clear" w:color="auto" w:fill="DCE1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301B4" w:rsidRDefault="00A13BAD">
            <w:r>
              <w:rPr>
                <w:b/>
                <w:shd w:val="clear" w:color="auto" w:fill="DCE1E7"/>
              </w:rPr>
              <w:t>Target 4th Quarter</w:t>
            </w:r>
          </w:p>
        </w:tc>
      </w:tr>
      <w:tr w:rsidR="00A301B4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01B4" w:rsidRDefault="00A13BAD">
            <w:r>
              <w:rPr>
                <w:sz w:val="18"/>
              </w:rPr>
              <w:t>English Language Arts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01B4" w:rsidRDefault="00A13BAD">
            <w:r>
              <w:rPr>
                <w:sz w:val="18"/>
              </w:rPr>
              <w:t>According to PVASS 2021 – 2022 data, HTEMS will decrease the number of students in grades 3 through 6 who fall within the well below growth indicator categor</w:t>
            </w:r>
            <w:r>
              <w:rPr>
                <w:sz w:val="18"/>
              </w:rPr>
              <w:t xml:space="preserve">y while increasing the number of students within the below/ meets growth indicator category.  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01B4" w:rsidRDefault="00A13BAD">
            <w:r>
              <w:rPr>
                <w:sz w:val="18"/>
              </w:rPr>
              <w:t>STAR ELA Smart Goal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01B4" w:rsidRDefault="00A13BAD">
            <w:r>
              <w:rPr>
                <w:sz w:val="18"/>
              </w:rPr>
              <w:t xml:space="preserve">Students in grade levels 3 – 6 </w:t>
            </w:r>
            <w:proofErr w:type="gramStart"/>
            <w:r>
              <w:rPr>
                <w:sz w:val="18"/>
              </w:rPr>
              <w:t>will be assessed</w:t>
            </w:r>
            <w:proofErr w:type="gramEnd"/>
            <w:r>
              <w:rPr>
                <w:sz w:val="18"/>
              </w:rPr>
              <w:t xml:space="preserve"> utilizing the STAR Literacy program to acquire a baseline.  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01B4" w:rsidRDefault="00A13BAD">
            <w:r>
              <w:rPr>
                <w:sz w:val="18"/>
              </w:rPr>
              <w:t>Students in grade levels 3 through 6 will increase their Stanine scores when compared with their baseline scores.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01B4" w:rsidRDefault="00A13BAD">
            <w:r>
              <w:rPr>
                <w:sz w:val="18"/>
              </w:rPr>
              <w:t xml:space="preserve">Students in grade levels 3 through 6 will display a continued increase in their Stanine scores when compared with their baseline scores. 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01B4" w:rsidRDefault="00A13BAD">
            <w:r>
              <w:rPr>
                <w:sz w:val="18"/>
              </w:rPr>
              <w:t>Acco</w:t>
            </w:r>
            <w:r>
              <w:rPr>
                <w:sz w:val="18"/>
              </w:rPr>
              <w:t>rding to PVASS 2023 – 2024 data, HTEMS will eliminate all subgroups within the well below Growth Indicator category.</w:t>
            </w:r>
          </w:p>
        </w:tc>
      </w:tr>
      <w:tr w:rsidR="00A301B4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01B4" w:rsidRDefault="00A13BAD">
            <w:r>
              <w:rPr>
                <w:sz w:val="18"/>
              </w:rPr>
              <w:t>Mathematics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01B4" w:rsidRDefault="00A13BAD">
            <w:r>
              <w:rPr>
                <w:sz w:val="18"/>
              </w:rPr>
              <w:t>According to PVASS 2021 – 2022 data, HTEMS will decrease the number of students in grades 3 through 6 who fall within the well</w:t>
            </w:r>
            <w:r>
              <w:rPr>
                <w:sz w:val="18"/>
              </w:rPr>
              <w:t xml:space="preserve"> below growth indicator category while increasing the number of students within the below/ meets growth indicator category.  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01B4" w:rsidRDefault="00A13BAD">
            <w:r>
              <w:rPr>
                <w:sz w:val="18"/>
              </w:rPr>
              <w:t>Star Math Smart Goal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01B4" w:rsidRDefault="00A13BAD">
            <w:r>
              <w:rPr>
                <w:sz w:val="18"/>
              </w:rPr>
              <w:t xml:space="preserve">Students in grade levels 3 – 6 </w:t>
            </w:r>
            <w:proofErr w:type="gramStart"/>
            <w:r>
              <w:rPr>
                <w:sz w:val="18"/>
              </w:rPr>
              <w:t>will be assessed</w:t>
            </w:r>
            <w:proofErr w:type="gramEnd"/>
            <w:r>
              <w:rPr>
                <w:sz w:val="18"/>
              </w:rPr>
              <w:t xml:space="preserve"> utilizing the STAR Math program to acquire a baseline.  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01B4" w:rsidRDefault="00A13BAD">
            <w:r>
              <w:rPr>
                <w:sz w:val="18"/>
              </w:rPr>
              <w:t>Stud</w:t>
            </w:r>
            <w:r>
              <w:rPr>
                <w:sz w:val="18"/>
              </w:rPr>
              <w:t>ents in grade levels 3 through 6 will increase their Stanine scores when compared with their baseline scores.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01B4" w:rsidRDefault="00A13BAD">
            <w:r>
              <w:rPr>
                <w:sz w:val="18"/>
              </w:rPr>
              <w:t xml:space="preserve">Students in grade levels 3 through 6 will display a continued increase in their Stanine scores when compared with their baseline scores. 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01B4" w:rsidRDefault="00A13BAD">
            <w:r>
              <w:rPr>
                <w:sz w:val="18"/>
              </w:rPr>
              <w:t>Accordin</w:t>
            </w:r>
            <w:r>
              <w:rPr>
                <w:sz w:val="18"/>
              </w:rPr>
              <w:t>g to PVASS 2023 – 2024 data, HTEMS will eliminate all subgroups within the well below Growth Indicator category.</w:t>
            </w:r>
          </w:p>
        </w:tc>
      </w:tr>
      <w:tr w:rsidR="00A301B4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01B4" w:rsidRDefault="00A13BAD">
            <w:r>
              <w:rPr>
                <w:sz w:val="18"/>
              </w:rPr>
              <w:t>Essential Practices 1: Focus on Continuous Improvement of Instruction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01B4" w:rsidRDefault="00A13BAD">
            <w:r>
              <w:rPr>
                <w:sz w:val="18"/>
              </w:rPr>
              <w:t>According to PVASS 2021 – 2022 data, HTEMS will decrease the number of s</w:t>
            </w:r>
            <w:r>
              <w:rPr>
                <w:sz w:val="18"/>
              </w:rPr>
              <w:t xml:space="preserve">tudents with disabilities in grades 3 through 6 who fall within the well below growth indicator category while increasing the number of students with disabilities within the below / meets growth indicator category.  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01B4" w:rsidRDefault="00A13BAD">
            <w:r>
              <w:rPr>
                <w:sz w:val="18"/>
              </w:rPr>
              <w:t>Students with Disabilities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01B4" w:rsidRDefault="00A13BAD">
            <w:r>
              <w:rPr>
                <w:sz w:val="18"/>
              </w:rPr>
              <w:t>Students wit</w:t>
            </w:r>
            <w:r>
              <w:rPr>
                <w:sz w:val="18"/>
              </w:rPr>
              <w:t xml:space="preserve">h disabilities in grade levels 3 – 6 </w:t>
            </w:r>
            <w:proofErr w:type="gramStart"/>
            <w:r>
              <w:rPr>
                <w:sz w:val="18"/>
              </w:rPr>
              <w:t>will be assessed</w:t>
            </w:r>
            <w:proofErr w:type="gramEnd"/>
            <w:r>
              <w:rPr>
                <w:sz w:val="18"/>
              </w:rPr>
              <w:t xml:space="preserve"> in a small group setting utilizing the STAR Literacy program to acquire a baseline.  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01B4" w:rsidRDefault="00A13BAD">
            <w:r>
              <w:rPr>
                <w:sz w:val="18"/>
              </w:rPr>
              <w:t>Students with disabilities in grade levels 3 through 6 will increase their Stanine scores when compared with their b</w:t>
            </w:r>
            <w:r>
              <w:rPr>
                <w:sz w:val="18"/>
              </w:rPr>
              <w:t>aseline scores.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01B4" w:rsidRDefault="00A13BAD">
            <w:r>
              <w:rPr>
                <w:sz w:val="18"/>
              </w:rPr>
              <w:t xml:space="preserve">Students with disabilities in grade levels 3 through 6 will display a continued increase in their Stanine scores when compared with their baseline scores. 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01B4" w:rsidRDefault="00A13BAD">
            <w:r>
              <w:rPr>
                <w:sz w:val="18"/>
              </w:rPr>
              <w:t>According to PVASS 2023 – 2024 data, HTEMS will decrease the number of students with</w:t>
            </w:r>
            <w:r>
              <w:rPr>
                <w:sz w:val="18"/>
              </w:rPr>
              <w:t xml:space="preserve"> disabilities within the well below Growth Indicator category.</w:t>
            </w:r>
          </w:p>
        </w:tc>
      </w:tr>
    </w:tbl>
    <w:p w:rsidR="00A301B4" w:rsidRDefault="00A13BAD">
      <w:r>
        <w:br/>
      </w: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5"/>
        <w:gridCol w:w="3093"/>
        <w:gridCol w:w="1384"/>
        <w:gridCol w:w="2063"/>
        <w:gridCol w:w="2260"/>
        <w:gridCol w:w="2249"/>
        <w:gridCol w:w="1826"/>
      </w:tblGrid>
      <w:tr w:rsidR="00A301B4">
        <w:tc>
          <w:tcPr>
            <w:tcW w:w="0" w:type="auto"/>
            <w:gridSpan w:val="7"/>
            <w:shd w:val="clear" w:color="auto" w:fill="16599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301B4" w:rsidRDefault="00A13BAD">
            <w:r>
              <w:rPr>
                <w:b/>
                <w:color w:val="FFFFFF"/>
                <w:shd w:val="clear" w:color="auto" w:fill="165998"/>
              </w:rPr>
              <w:lastRenderedPageBreak/>
              <w:t>Priority:</w:t>
            </w:r>
            <w:r>
              <w:rPr>
                <w:color w:val="FFFFFF"/>
                <w:shd w:val="clear" w:color="auto" w:fill="165998"/>
              </w:rPr>
              <w:t xml:space="preserve"> In our school community, education was not a priority during the </w:t>
            </w:r>
            <w:proofErr w:type="spellStart"/>
            <w:r>
              <w:rPr>
                <w:color w:val="FFFFFF"/>
                <w:shd w:val="clear" w:color="auto" w:fill="165998"/>
              </w:rPr>
              <w:t>covid</w:t>
            </w:r>
            <w:proofErr w:type="spellEnd"/>
            <w:r>
              <w:rPr>
                <w:color w:val="FFFFFF"/>
                <w:shd w:val="clear" w:color="auto" w:fill="165998"/>
              </w:rPr>
              <w:t xml:space="preserve"> years.  We are continuing to work to bridge the educational gaps.  We have made major progress in reestablis</w:t>
            </w:r>
            <w:r>
              <w:rPr>
                <w:color w:val="FFFFFF"/>
                <w:shd w:val="clear" w:color="auto" w:fill="165998"/>
              </w:rPr>
              <w:t>hing communication between school and home and in the value of education.</w:t>
            </w:r>
          </w:p>
        </w:tc>
      </w:tr>
      <w:tr w:rsidR="00A301B4">
        <w:tc>
          <w:tcPr>
            <w:tcW w:w="0" w:type="auto"/>
            <w:shd w:val="clear" w:color="auto" w:fill="DCE1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301B4" w:rsidRDefault="00A13BAD">
            <w:r>
              <w:rPr>
                <w:b/>
                <w:shd w:val="clear" w:color="auto" w:fill="DCE1E7"/>
              </w:rPr>
              <w:t>Outcome Category</w:t>
            </w:r>
          </w:p>
        </w:tc>
        <w:tc>
          <w:tcPr>
            <w:tcW w:w="0" w:type="auto"/>
            <w:shd w:val="clear" w:color="auto" w:fill="DCE1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301B4" w:rsidRDefault="00A13BAD">
            <w:r>
              <w:rPr>
                <w:b/>
                <w:shd w:val="clear" w:color="auto" w:fill="DCE1E7"/>
              </w:rPr>
              <w:t>Measurable Goal Statement</w:t>
            </w:r>
          </w:p>
        </w:tc>
        <w:tc>
          <w:tcPr>
            <w:tcW w:w="0" w:type="auto"/>
            <w:shd w:val="clear" w:color="auto" w:fill="DCE1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301B4" w:rsidRDefault="00A13BAD">
            <w:r>
              <w:rPr>
                <w:b/>
                <w:shd w:val="clear" w:color="auto" w:fill="DCE1E7"/>
              </w:rPr>
              <w:t>Measurable Goal Nickname</w:t>
            </w:r>
          </w:p>
        </w:tc>
        <w:tc>
          <w:tcPr>
            <w:tcW w:w="0" w:type="auto"/>
            <w:shd w:val="clear" w:color="auto" w:fill="DCE1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301B4" w:rsidRDefault="00A13BAD">
            <w:r>
              <w:rPr>
                <w:b/>
                <w:shd w:val="clear" w:color="auto" w:fill="DCE1E7"/>
              </w:rPr>
              <w:t>Target 1st Quarter</w:t>
            </w:r>
          </w:p>
        </w:tc>
        <w:tc>
          <w:tcPr>
            <w:tcW w:w="0" w:type="auto"/>
            <w:shd w:val="clear" w:color="auto" w:fill="DCE1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301B4" w:rsidRDefault="00A13BAD">
            <w:r>
              <w:rPr>
                <w:b/>
                <w:shd w:val="clear" w:color="auto" w:fill="DCE1E7"/>
              </w:rPr>
              <w:t>Target 2nd Quarter</w:t>
            </w:r>
          </w:p>
        </w:tc>
        <w:tc>
          <w:tcPr>
            <w:tcW w:w="0" w:type="auto"/>
            <w:shd w:val="clear" w:color="auto" w:fill="DCE1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301B4" w:rsidRDefault="00A13BAD">
            <w:r>
              <w:rPr>
                <w:b/>
                <w:shd w:val="clear" w:color="auto" w:fill="DCE1E7"/>
              </w:rPr>
              <w:t>Target 3rd Quarter</w:t>
            </w:r>
          </w:p>
        </w:tc>
        <w:tc>
          <w:tcPr>
            <w:tcW w:w="0" w:type="auto"/>
            <w:shd w:val="clear" w:color="auto" w:fill="DCE1E7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</w:tcPr>
          <w:p w:rsidR="00A301B4" w:rsidRDefault="00A13BAD">
            <w:r>
              <w:rPr>
                <w:b/>
                <w:shd w:val="clear" w:color="auto" w:fill="DCE1E7"/>
              </w:rPr>
              <w:t>Target 4th Quarter</w:t>
            </w:r>
          </w:p>
        </w:tc>
      </w:tr>
      <w:tr w:rsidR="00A301B4"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01B4" w:rsidRDefault="00A13BAD">
            <w:r>
              <w:rPr>
                <w:sz w:val="18"/>
              </w:rPr>
              <w:t>Essential Practices 1: Focus on Continuous Improvement of Instruction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01B4" w:rsidRDefault="00A13BAD">
            <w:r>
              <w:rPr>
                <w:sz w:val="18"/>
              </w:rPr>
              <w:t xml:space="preserve">To set up grade level data teams that will meet during professional development time to analyze and evaluate school local assessment results. All content and special teachers </w:t>
            </w:r>
            <w:proofErr w:type="gramStart"/>
            <w:r>
              <w:rPr>
                <w:sz w:val="18"/>
              </w:rPr>
              <w:t>will be ass</w:t>
            </w:r>
            <w:r>
              <w:rPr>
                <w:sz w:val="18"/>
              </w:rPr>
              <w:t>igned</w:t>
            </w:r>
            <w:proofErr w:type="gramEnd"/>
            <w:r>
              <w:rPr>
                <w:sz w:val="18"/>
              </w:rPr>
              <w:t xml:space="preserve"> a team.  School administrators will be active members of this team.  Parents </w:t>
            </w:r>
            <w:proofErr w:type="gramStart"/>
            <w:r>
              <w:rPr>
                <w:sz w:val="18"/>
              </w:rPr>
              <w:t>will be informed</w:t>
            </w:r>
            <w:proofErr w:type="gramEnd"/>
            <w:r>
              <w:rPr>
                <w:sz w:val="18"/>
              </w:rPr>
              <w:t xml:space="preserve"> of the assessment calendar and results.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01B4" w:rsidRDefault="00A13BAD">
            <w:r>
              <w:rPr>
                <w:sz w:val="18"/>
              </w:rPr>
              <w:t>Data Teams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01B4" w:rsidRDefault="00A13BAD">
            <w:r>
              <w:rPr>
                <w:sz w:val="18"/>
              </w:rPr>
              <w:t xml:space="preserve">Establish </w:t>
            </w:r>
            <w:proofErr w:type="gramStart"/>
            <w:r>
              <w:rPr>
                <w:sz w:val="18"/>
              </w:rPr>
              <w:t>grade level data teams</w:t>
            </w:r>
            <w:proofErr w:type="gramEnd"/>
            <w:r>
              <w:rPr>
                <w:sz w:val="18"/>
              </w:rPr>
              <w:t xml:space="preserve"> and develop a meeting schedule.  Parents </w:t>
            </w:r>
            <w:proofErr w:type="gramStart"/>
            <w:r>
              <w:rPr>
                <w:sz w:val="18"/>
              </w:rPr>
              <w:t>will be notified</w:t>
            </w:r>
            <w:proofErr w:type="gramEnd"/>
            <w:r>
              <w:rPr>
                <w:sz w:val="18"/>
              </w:rPr>
              <w:t xml:space="preserve"> of the testing schedule. Beginning of the year assessment </w:t>
            </w:r>
            <w:proofErr w:type="gramStart"/>
            <w:r>
              <w:rPr>
                <w:sz w:val="18"/>
              </w:rPr>
              <w:t>will be given</w:t>
            </w:r>
            <w:proofErr w:type="gramEnd"/>
            <w:r>
              <w:rPr>
                <w:sz w:val="18"/>
              </w:rPr>
              <w:t xml:space="preserve"> to establish baseline data.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01B4" w:rsidRDefault="00A13BAD">
            <w:r>
              <w:rPr>
                <w:sz w:val="18"/>
              </w:rPr>
              <w:t>Data teams and administrators will meet according to the set sche</w:t>
            </w:r>
            <w:r>
              <w:rPr>
                <w:sz w:val="18"/>
              </w:rPr>
              <w:t xml:space="preserve">dule and adhere to the developed agendas. Focus student groups </w:t>
            </w:r>
            <w:proofErr w:type="gramStart"/>
            <w:r>
              <w:rPr>
                <w:sz w:val="18"/>
              </w:rPr>
              <w:t>will be created</w:t>
            </w:r>
            <w:proofErr w:type="gramEnd"/>
            <w:r>
              <w:rPr>
                <w:sz w:val="18"/>
              </w:rPr>
              <w:t>.  Middle of the year testing will follow.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01B4" w:rsidRDefault="00A13BAD">
            <w:r>
              <w:rPr>
                <w:sz w:val="18"/>
              </w:rPr>
              <w:t xml:space="preserve">Data teams and administrators will meet according to the set schedule and adhere to the developed agendas. Focus student groups </w:t>
            </w:r>
            <w:proofErr w:type="gramStart"/>
            <w:r>
              <w:rPr>
                <w:sz w:val="18"/>
              </w:rPr>
              <w:t>will be modified</w:t>
            </w:r>
            <w:proofErr w:type="gramEnd"/>
            <w:r>
              <w:rPr>
                <w:sz w:val="18"/>
              </w:rPr>
              <w:t>.  End of the year testing will follow.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301B4" w:rsidRDefault="00A13BAD">
            <w:r>
              <w:rPr>
                <w:sz w:val="18"/>
              </w:rPr>
              <w:t xml:space="preserve">Vertical planning </w:t>
            </w:r>
            <w:proofErr w:type="gramStart"/>
            <w:r>
              <w:rPr>
                <w:sz w:val="18"/>
              </w:rPr>
              <w:t>will be implemented</w:t>
            </w:r>
            <w:proofErr w:type="gramEnd"/>
            <w:r>
              <w:rPr>
                <w:sz w:val="18"/>
              </w:rPr>
              <w:t xml:space="preserve"> to inform teachers across grade le</w:t>
            </w:r>
            <w:r>
              <w:rPr>
                <w:sz w:val="18"/>
              </w:rPr>
              <w:t>vels of the strengths and weaknesses of the domains.</w:t>
            </w:r>
          </w:p>
        </w:tc>
      </w:tr>
    </w:tbl>
    <w:p w:rsidR="00A301B4" w:rsidRDefault="00A13BAD">
      <w:r>
        <w:br/>
      </w:r>
    </w:p>
    <w:sectPr w:rsidR="00A301B4">
      <w:pgSz w:w="15840" w:h="12240" w:orient="landscape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1B4"/>
    <w:rsid w:val="00A13BAD"/>
    <w:rsid w:val="00A3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45ADDB-7E01-41C4-9363-47492EB8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Schadder</dc:creator>
  <cp:lastModifiedBy>MEGAN LABUDA</cp:lastModifiedBy>
  <cp:revision>2</cp:revision>
  <dcterms:created xsi:type="dcterms:W3CDTF">2023-10-15T00:07:00Z</dcterms:created>
  <dcterms:modified xsi:type="dcterms:W3CDTF">2023-10-15T00:07:00Z</dcterms:modified>
</cp:coreProperties>
</file>